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Chapter 10 Section 3: Banking Today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People in the US use more than just paper currency to pay for purchases.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Include – Credit Card, Debit Card, Personal Check, Travelers Checks, and etc.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 – money that is available in the United States economy.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Economists divide the different kinds of money </w:t>
        <w:tab/>
        <w:t xml:space="preserve">supply into several categories.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Represents money that people can ______________________________ _____________________ to pay for goods and services.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M1 consists of assets that have __________ – the ability to be used as, or directly converted into, cash.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48% of currency is made up of M1 money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Deposits in checking accounts are called demand deposits.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______ – consists of all the assets in _____ plus several additional assets.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Include funds that cannot be used as cash directly, but can be converted into cash fairly easily.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i.e.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Functions of Financial Institutions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Banks provide a safe, convenient place for people to store their money.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FDIC insurance protects people from losing their money if the bank is unable to repay the funds.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Banks offer a variety of ways for people to save money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Savings accounts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Checking accounts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Money market accounts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Certificates of Deposit CDs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Savings accounts and Checking accounts are the most common types of bank accounts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They are useful for people who need to make frequent withdrawals.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Savings accounts and most checking accounts pay a small amount of interest at an annual rate.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Money market accounts and CDs pay higher rates of interests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Interest Rates are not fixed, they go up and down.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CDs have a guaranteed rate of interest over a certain period of time.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Banks provide loans to people who need money for some reason. 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 banking system that keeps only a fraction of funds on hand and lends put the remainder is called ___________________________.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 more money that a banks lends out, and the higher the interest rate, the more profit a bank can make.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Banks help new businesses get started.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Bankers must consider the security of the loans the make.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If a borrower ____________ – fails to pay back the loan – then the bank loses.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This is a specific type of loan that is used to buy real estate.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i.e. buy a house.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Most down payments on a house is 20% of the cost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 w:before="0"/>
        <w:ind w:left="216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Most people get a 30-year mortgage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Banks provide credit cards for people to use.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This card entitles their holder to buy goods and services based on the cardholder’s promise to pay for these goods and services.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 charge on the card and pay the bill next month when your statement arrives in the mail.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_________________________________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Interest is the price paid for the use of the borrowed money.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 amount that a person borrows is called the principle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 would be that you deposit $100 in the bank at 5% interest. After one year you have $105 in the account.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 the interest that is paid on both the Principle and the interest earned. Example – in the second year you would have earned 5% interest on $105. 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 largest source of income for banks is the interest rates that they charge their customers.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Banks do pay interest on savings accounts and checking accounts, but at a much smaller rate.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Types of Financial Institutions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Offer traditional services to businesses.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Some are chartered by states and others by the Fed.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They provide the most services and play the largest role in the economy of any type of bank.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Called S &amp; Ls or Thrifts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Provide many of the same functions a commercial banks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Established for people who made smaller transactions than commercial banks wanted to handle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Have NOW accounts – ___________________________________ accounts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Cooperative lending associations for a particular group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Specialize in home mortgages and car loans that have lower interest rates than commercial banks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May provide checking accounts as well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 w:before="0"/>
        <w:ind w:left="1440" w:hanging="359"/>
        <w:contextualSpacing w:val="1"/>
        <w:rPr>
          <w:b w:val="0"/>
          <w:sz w:val="24"/>
          <w:u w:val="single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u w:val="single"/>
          <w:rtl w:val="0"/>
        </w:rPr>
        <w:t xml:space="preserve">___________________________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They make installment loans to consumers.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Major purchases - like furniture – payments are made over a number of months.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40"/>
        <w:ind w:left="216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People most often fail to repay their loans, finance companies generally charge higher interest rates.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By the 1970s, banks began using computers to keep </w:t>
        <w:tab/>
        <w:t xml:space="preserve">track of transactions.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___________________________ – ATMs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Allow people to get money out of their account for a fee when they need to.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People can also make deposits at ATMs.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They handle the face-to-face business of a teller.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Are used to withdraw money.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Can be used to withdraw from an ATM.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Can be used in stores to make payments for your purchases.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bookmarkStart w:id="0" w:colFirst="0" w:name="h.gjdgxs" w:colLast="0"/>
      <w:bookmarkEnd w:id="0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When the purchase is made, your account is deducted that amount immediately.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___________________________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_____________________________________ located on the floor of the Fed and their branches allow customers to pay bills without writing checks.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It automatically deducts your account the amount you </w:t>
        <w:tab/>
        <w:t xml:space="preserve">tell it to.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Used mainly for those monthly bills like rent, car payments, mortgages, and etc.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72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Major Banking Mergers of the 1990s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Travelers and Salomon Brothers = Travelers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 of America and Robertson Stephens = Bank of America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NationsBank and Barnett Bank = NationsBank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Chemical Bank and Manufacturers Hanover = Chemical Bank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Banc One and First Commerce = Banc One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First Chicago and NBD = First Chicago NBD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Banc One and First Chicago NBD = Banc One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Chase Manhatten and Chemical Bank = Chase-Manhatten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Bank of America and NationsBank = BankAmerica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40"/>
        <w:ind w:left="1440" w:hanging="359"/>
        <w:rPr>
          <w:sz w:val="24"/>
        </w:rPr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Citicorp and Travelers = Citigroup</w:t>
      </w:r>
    </w:p>
    <w:sectPr>
      <w:foot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0" w:line="240" w:before="0"/>
      <w:contextualSpacing w:val="0"/>
      <w:jc w:val="right"/>
    </w:pPr>
    <w:fldSimple w:dirty="0" w:instr="PAGE" w:fldLock="0">
      <w:r w:rsidRPr="00000000" w:rsidR="00000000" w:rsidDel="00000000">
        <w:rPr>
          <w:rFonts w:cs="Calibri" w:hAnsi="Calibri" w:eastAsia="Calibri" w:ascii="Calibri"/>
          <w:b w:val="0"/>
          <w:sz w:val="22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160" w:line="259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Arial" w:hAnsi="Arial" w:eastAsia="Arial" w:ascii="Arial"/>
      <w:i w:val="0"/>
      <w:color w:val="000000"/>
      <w:sz w:val="22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 Section 3 Notes Handout.docx.docx</dc:title>
</cp:coreProperties>
</file>